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1. Plano de Trabalho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bCs w:val="1"/>
          <w:color w:val="000000"/>
        </w:rPr>
      </w:pPr>
      <w:bookmarkStart w:colFirst="0" w:colLast="0" w:name="_heading=h.w3xzlq6ohdn4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Nome da instituição proponente:</w:t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Rule="auto"/>
        <w:ind w:left="0" w:firstLine="0"/>
        <w:rPr>
          <w:b w:val="1"/>
          <w:bCs w:val="1"/>
          <w:sz w:val="16"/>
          <w:szCs w:val="16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Orientações de preenchimento: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40" w:lineRule="auto"/>
        <w:ind w:left="0" w:firstLine="0"/>
        <w:rPr>
          <w:b w:val="1"/>
          <w:bCs w:val="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Para cada objetivo específico descreva todas as atividades necessárias para o seu alcance, de modo que seja possível visualizar as etapas do projeto sendo realizadas rumo aos seus objetivos.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60" w:before="0" w:lineRule="auto"/>
        <w:rPr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Aponte o/a(s) responsável(eis) por cada atividade e os prazos estabelecidos.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360" w:befor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** Conforme a necessidade, novas linhas podem ser incluídas na tabela abaixo, ou ainda, excluídas.</w:t>
      </w:r>
    </w:p>
    <w:tbl>
      <w:tblPr>
        <w:tblStyle w:val="Table1"/>
        <w:tblW w:w="130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4455"/>
        <w:gridCol w:w="2760"/>
        <w:gridCol w:w="2295"/>
        <w:tblGridChange w:id="0">
          <w:tblGrid>
            <w:gridCol w:w="3540"/>
            <w:gridCol w:w="4455"/>
            <w:gridCol w:w="2760"/>
            <w:gridCol w:w="229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ce5cd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para atingir os 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dos responsáveis por cada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Prazos (mês 1,2,3,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720" w:hanging="360"/>
        <w:rPr>
          <w:rFonts w:ascii="Montserrat Black" w:cs="Montserrat Black" w:eastAsia="Montserrat Black" w:hAnsi="Montserrat Black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-201929</wp:posOffset>
          </wp:positionH>
          <wp:positionV relativeFrom="paragraph">
            <wp:posOffset>-153034</wp:posOffset>
          </wp:positionV>
          <wp:extent cx="2304415" cy="5029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4415" cy="502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a9eoy3uJQFvEsp0VSJ5Xjaobw==">CgMxLjAyCWguM2R5NnZrbTIOaC53M3h6bHE2b2hkbjQ4AHIhMU9tbjBseHhNVVZ0UWlmaUdZVGtQeHJsRGRrcHBSYlB4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2025-07-17T20:50:00Z</dcterms:created>
  <dc:creator>ISPN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