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numPr>
          <w:ilvl w:val="0"/>
          <w:numId w:val="1"/>
        </w:numPr>
        <w:ind w:left="0" w:firstLine="0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bookmarkStart w:colFirst="0" w:colLast="0" w:name="_heading=h.3dy6vkm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Anexo 2. Indicadores do Projeto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Escolha os indicadores que melhor refletem o monitoramento dos resultados que o seu projeto pretende alcançar. </w:t>
      </w:r>
    </w:p>
    <w:tbl>
      <w:tblPr>
        <w:tblStyle w:val="Table1"/>
        <w:tblW w:w="14520.0" w:type="dxa"/>
        <w:jc w:val="center"/>
        <w:tblLayout w:type="fixed"/>
        <w:tblLook w:val="0400"/>
      </w:tblPr>
      <w:tblGrid>
        <w:gridCol w:w="570"/>
        <w:gridCol w:w="6300"/>
        <w:gridCol w:w="1155"/>
        <w:gridCol w:w="1125"/>
        <w:gridCol w:w="5370"/>
        <w:tblGridChange w:id="0">
          <w:tblGrid>
            <w:gridCol w:w="570"/>
            <w:gridCol w:w="6300"/>
            <w:gridCol w:w="1155"/>
            <w:gridCol w:w="1125"/>
            <w:gridCol w:w="537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Início (marco inicial)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Final do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Alcance</w:t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tabs>
                <w:tab w:val="left" w:leader="none" w:pos="1005"/>
              </w:tabs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tabs>
                <w:tab w:val="left" w:leader="none" w:pos="1005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organizações apoiadas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tabs>
                <w:tab w:val="left" w:leader="none" w:pos="1005"/>
              </w:tabs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tabs>
                <w:tab w:val="left" w:leader="none" w:pos="1005"/>
              </w:tabs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comunidades fortalecidas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jc w:val="left"/>
              <w:rPr>
                <w:b w:val="1"/>
                <w:bCs w:val="1"/>
                <w:color w:val="000000"/>
              </w:rPr>
            </w:pPr>
            <w:bookmarkStart w:colFirst="0" w:colLast="0" w:name="_heading=h.7isqnpg4lxl7" w:id="1"/>
            <w:bookmarkEnd w:id="1"/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Pessoas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beneficiadas diretamente pelo projeto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jovens (até 29) </w:t>
            </w:r>
            <w:r w:rsidDel="00000000" w:rsidR="00000000" w:rsidRPr="00000000">
              <w:rPr>
                <w:rtl w:val="0"/>
              </w:rPr>
              <w:t xml:space="preserve">beneficiados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adultos beneficiados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jovens (até 29) beneficiadas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adultas beneficiadas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Indígenas beneficiados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lideranças comunitárias fortalecidas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comercializando produtos da sociobiodiversidade com apoio do Fundo Ecos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famílias acessando vendas institucionais com apoio do Fundo Ecos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4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Capacitações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capacitações realizadas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jovens capacitados (até 29)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adultos capacitados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jovens capacitadas (até 29)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adultas capacitadas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Intercâmbios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intercâmbios realizados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homens participando de intercâmbios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mulheres participando de intercâmbios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7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Território / Área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iniciativas de Gestão Territorial implantadas (plano de manejo integrado do fogo, auto mapeamento, PGTA, </w:t>
            </w:r>
            <w:r w:rsidDel="00000000" w:rsidR="00000000" w:rsidRPr="00000000">
              <w:rPr>
                <w:rtl w:val="0"/>
              </w:rPr>
              <w:t xml:space="preserve">PGTAQ</w:t>
            </w:r>
            <w:r w:rsidDel="00000000" w:rsidR="00000000" w:rsidRPr="00000000">
              <w:rPr>
                <w:rtl w:val="0"/>
              </w:rPr>
              <w:t xml:space="preserve">, plano de manejo extrativista, etc)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ecológico do fogo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agroecológico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para restauração (ha)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Área com manejo sustentável para extrativismo (ha)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9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Tecnologia e Infraestrutura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agroindústrias implantadas / reformadas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novas tecnologias implantadas (energia renovável, fogão ecológico, armazenamento de água, etc)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Número de pessoas beneficiadas com tecnologias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720" w:hanging="36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Financeiro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Faturamento bruto anual do empreendimento apoiado (R$)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Volume financeiro de vendas institucionais com apoio do  Fundo Ecos (R$)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4"/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60" w:lineRule="auto"/>
              <w:ind w:left="720" w:right="0" w:hanging="360"/>
              <w:jc w:val="both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Comunicação e gestão do conhecimento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d9ead3" w:val="clea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materiais de gestão do conhecimento e comunicação produzidos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 de pessoas com capacidade de comunicação aprimorada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pStyle w:val="Heading1"/>
        <w:numPr>
          <w:ilvl w:val="0"/>
          <w:numId w:val="1"/>
        </w:numPr>
        <w:ind w:left="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40" w:orient="landscape"/>
      <w:pgMar w:bottom="1133.8582677165355" w:top="1133.8582677165355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-633</wp:posOffset>
          </wp:positionV>
          <wp:extent cx="2304415" cy="5029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4415" cy="5029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PF0ZiVevJZ3IP+ZVXbe4yB4/Pw==">CgMxLjAyCWguM2R5NnZrbTIOaC43aXNxbnBnNGx4bDc4AHIhMUJVN1RKM3RDYkVaNVZDbHdmNEhkU2VzMEUtdUJfRllT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